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9C" w:rsidRPr="00AC509C" w:rsidRDefault="006D6A16" w:rsidP="00AC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09C">
        <w:rPr>
          <w:rFonts w:ascii="Times New Roman" w:hAnsi="Times New Roman" w:cs="Times New Roman"/>
          <w:sz w:val="24"/>
          <w:szCs w:val="24"/>
        </w:rPr>
        <w:t xml:space="preserve">      </w:t>
      </w:r>
      <w:r w:rsidR="00B954C8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AC509C" w:rsidRPr="00AC509C">
        <w:rPr>
          <w:rFonts w:ascii="Times New Roman" w:hAnsi="Times New Roman" w:cs="Times New Roman"/>
          <w:b/>
          <w:sz w:val="24"/>
          <w:szCs w:val="24"/>
        </w:rPr>
        <w:t xml:space="preserve"> реализации национального проекта «Демография» </w:t>
      </w:r>
      <w:r w:rsidR="00FA1174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proofErr w:type="spellStart"/>
      <w:r w:rsidR="00FA1174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FA1174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  <w:r w:rsidR="00B80865">
        <w:rPr>
          <w:rFonts w:ascii="Times New Roman" w:hAnsi="Times New Roman" w:cs="Times New Roman"/>
          <w:b/>
          <w:sz w:val="24"/>
          <w:szCs w:val="24"/>
        </w:rPr>
        <w:t>за</w:t>
      </w:r>
      <w:r w:rsidR="008E7F0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80865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7E5EC9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8E7F0F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FA1174" w:rsidRPr="002F646A" w:rsidRDefault="00FA1174" w:rsidP="00FA1174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</w:rPr>
      </w:pPr>
      <w:r w:rsidRPr="002F646A">
        <w:rPr>
          <w:rFonts w:ascii="Times New Roman" w:hAnsi="Times New Roman" w:cs="Times New Roman"/>
          <w:b/>
          <w:color w:val="171717"/>
          <w:sz w:val="24"/>
          <w:szCs w:val="24"/>
        </w:rPr>
        <w:t>Демографическая ситуация</w:t>
      </w:r>
    </w:p>
    <w:p w:rsidR="00FA1174" w:rsidRPr="002F646A" w:rsidRDefault="00FA1174" w:rsidP="00FA1174">
      <w:pPr>
        <w:spacing w:after="0"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</w:rPr>
      </w:pPr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46A">
        <w:rPr>
          <w:rFonts w:ascii="Times New Roman" w:eastAsia="Calibri" w:hAnsi="Times New Roman" w:cs="Times New Roman"/>
          <w:sz w:val="24"/>
          <w:szCs w:val="24"/>
        </w:rPr>
        <w:tab/>
        <w:t xml:space="preserve">Отделом ЗАГС Администрации </w:t>
      </w:r>
      <w:proofErr w:type="spellStart"/>
      <w:r w:rsidRPr="002F646A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 района в 1 полугодии 2021 года зарегистрировано 190 смертей,  95 рождений</w:t>
      </w:r>
      <w:r w:rsidRPr="002F646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 32 брака, 34 развода, 25 установлений отцовства, 5 перемен имени.</w:t>
      </w:r>
    </w:p>
    <w:p w:rsidR="00FA1174" w:rsidRPr="002F646A" w:rsidRDefault="00FA1174" w:rsidP="00FA1174">
      <w:p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Из 95 записей актов о рождении, что больше на 11 в сравнении с аналогичным периодом 2020 года, 53 записей составлены в отношении мальчиков, 42 – девочек. 72% детей родились в семьях,  родители которых состоят в зарегистрированном браке, 28% детей рождены матерями, не состоящими в браке. </w:t>
      </w:r>
    </w:p>
    <w:p w:rsidR="00FA1174" w:rsidRPr="002F646A" w:rsidRDefault="00FA1174" w:rsidP="00FA1174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Первых детей родилось - 20, вторых – 19, третьих-37, четвертых 13, пятых -4, шестых – 2. </w:t>
      </w:r>
    </w:p>
    <w:p w:rsidR="00FA1174" w:rsidRPr="002F646A" w:rsidRDefault="00FA1174" w:rsidP="00FA11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По количеству рождений на первом месте МО «</w:t>
      </w:r>
      <w:proofErr w:type="spellStart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Пычасское</w:t>
      </w:r>
      <w:proofErr w:type="spellEnd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»- 18 новорожденных, на втором месте  МО «</w:t>
      </w:r>
      <w:proofErr w:type="spellStart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Большеучинское</w:t>
      </w:r>
      <w:proofErr w:type="spellEnd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» и  МО «</w:t>
      </w:r>
      <w:proofErr w:type="spellStart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Горнякское</w:t>
      </w:r>
      <w:proofErr w:type="spellEnd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- по 12 новорожденных, на третьем месте </w:t>
      </w:r>
      <w:proofErr w:type="spellStart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proofErr w:type="gramStart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О«</w:t>
      </w:r>
      <w:proofErr w:type="gramEnd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Большепудгинское</w:t>
      </w:r>
      <w:proofErr w:type="spellEnd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» и МО «</w:t>
      </w:r>
      <w:proofErr w:type="spellStart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Пазяльское</w:t>
      </w:r>
      <w:proofErr w:type="spellEnd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по 8 рождений,  а в остальных муниципальных образованиях – менее 8.  </w:t>
      </w:r>
    </w:p>
    <w:p w:rsidR="00FA1174" w:rsidRPr="002F646A" w:rsidRDefault="00FA1174" w:rsidP="00FA11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Смертей составлено 190 актов,  что  по количеству больше на 21 в сравнении с 1 полугодием 2020 года,  но из общего  числа умерших 6 человек иногородних, умерших на территории </w:t>
      </w:r>
      <w:proofErr w:type="spellStart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и 3 – без определенного места жительства. </w:t>
      </w:r>
    </w:p>
    <w:p w:rsidR="00FA1174" w:rsidRPr="002F646A" w:rsidRDefault="00FA1174" w:rsidP="00FA11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Из 100 мужчин 90 женщин большинство умерли в возрасте 70 лет и старше. Зарегистрирована смерть 2 детей в возрасте до 18 лет.</w:t>
      </w:r>
    </w:p>
    <w:p w:rsidR="00FA1174" w:rsidRPr="002F646A" w:rsidRDefault="00FA1174" w:rsidP="00FA117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По причинам смерти - большинство граждан умирает от сердечнососудистых заболеваний и поражений головного мозга, на втором месте по-прежнему </w:t>
      </w:r>
      <w:proofErr w:type="gramStart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-о</w:t>
      </w:r>
      <w:proofErr w:type="gramEnd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нкологические заболевания и на третьем месте - жировая дистрофия печени.</w:t>
      </w:r>
    </w:p>
    <w:p w:rsidR="00FA1174" w:rsidRPr="002F646A" w:rsidRDefault="00FA1174" w:rsidP="00FA117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По количеству смертей наибольшее количество в МО «</w:t>
      </w:r>
      <w:proofErr w:type="spellStart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Пычасское</w:t>
      </w:r>
      <w:proofErr w:type="spellEnd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»- 32 человека,  в МО «</w:t>
      </w:r>
      <w:proofErr w:type="spellStart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»- 30 человек, в МО «Горнякское»-26 человек, в МО «</w:t>
      </w:r>
      <w:proofErr w:type="spellStart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Большеучинское</w:t>
      </w:r>
      <w:proofErr w:type="spellEnd"/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>» - 20 человек, в остальных менее 15 человек.</w:t>
      </w:r>
    </w:p>
    <w:p w:rsidR="00FA1174" w:rsidRPr="002F646A" w:rsidRDefault="00FA1174" w:rsidP="00FA1174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На 12 актов увеличилось количество зарегистрированных браков, в сравнении с прошлым годом. </w:t>
      </w:r>
    </w:p>
    <w:p w:rsidR="00FA1174" w:rsidRPr="002F646A" w:rsidRDefault="00FA1174" w:rsidP="00FA11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44 % браков зарегистрировано до истечения месячного срока, в 10 случаях причиной являлась беременность невесты, в 4- наличие у супругов общих детей. Зарегистрирован 1 брак с несовершеннолетней девушкой, 1 брак с гражданином Таджикистана. </w:t>
      </w:r>
    </w:p>
    <w:p w:rsidR="00FA1174" w:rsidRPr="002F646A" w:rsidRDefault="00FA1174" w:rsidP="00FA11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Большинство мужчин вступают в брак в возрасте 25 лет -34 года, а женщины в возрасте 18-24 года.  Из числа заключивших брак  для  26 мужчин и  24 женщин это первый брак. </w:t>
      </w:r>
    </w:p>
    <w:p w:rsidR="00FA1174" w:rsidRPr="002F646A" w:rsidRDefault="00FA1174" w:rsidP="00FA11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На 22 акта увеличилось количество регистраций расторжений браков и составило 34 развода. </w:t>
      </w:r>
    </w:p>
    <w:p w:rsidR="00FA1174" w:rsidRPr="002F646A" w:rsidRDefault="00FA1174" w:rsidP="00FA11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82 %  расторжений браков зарегистрировано на основании решения суда, </w:t>
      </w:r>
    </w:p>
    <w:p w:rsidR="00FA1174" w:rsidRPr="002F646A" w:rsidRDefault="00FA1174" w:rsidP="00FA11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18% по взаимному согласию супругов, не имеющих детей, не достигших совершеннолетия. </w:t>
      </w:r>
    </w:p>
    <w:p w:rsidR="00FA1174" w:rsidRPr="002F646A" w:rsidRDefault="00FA1174" w:rsidP="00FA11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На 6 актов уменьшилось количество зарегистрированных актов об установлении отцовства и составило 25 актов. Из них 20 совместных заявления отца и матери ребенка, не состоящих в браке на момент рождения ребенка и 5 установлений отцовств на основании решения суда.</w:t>
      </w:r>
    </w:p>
    <w:p w:rsidR="00F45EC5" w:rsidRPr="002F646A" w:rsidRDefault="00FA1174" w:rsidP="00F45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1 полугодии зарегистрировано 5 перемен имени. Государственной регистрации усыновления (удочерения) в этот период, как и в 2020 году,  не было.</w:t>
      </w:r>
    </w:p>
    <w:p w:rsidR="00B80865" w:rsidRDefault="00B80865" w:rsidP="00AC509C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3F06F7" w:rsidRDefault="003F06F7" w:rsidP="00AC509C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bookmarkStart w:id="0" w:name="_GoBack"/>
      <w:bookmarkEnd w:id="0"/>
    </w:p>
    <w:p w:rsidR="00B80865" w:rsidRDefault="00B80865" w:rsidP="00AC509C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6D6A16" w:rsidRPr="002F646A" w:rsidRDefault="006D6A16" w:rsidP="00AC509C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46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lastRenderedPageBreak/>
        <w:t>Проект: «Финансовая поддержка семей при рождении детей»</w:t>
      </w:r>
    </w:p>
    <w:p w:rsidR="00B954C8" w:rsidRPr="002F646A" w:rsidRDefault="00B954C8" w:rsidP="00B954C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46A">
        <w:rPr>
          <w:rFonts w:ascii="Times New Roman" w:hAnsi="Times New Roman" w:cs="Times New Roman"/>
          <w:sz w:val="24"/>
          <w:szCs w:val="24"/>
        </w:rPr>
        <w:t xml:space="preserve">1. </w:t>
      </w:r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Управление социальной защиты населения в городе Можге в рамках Национального проекта «Демография» по проекту «Финансовая поддержка семей при рождении детей» по состоянию на 01 июля 2021 года осуществило следующие выплаты гражданам </w:t>
      </w:r>
      <w:proofErr w:type="spellStart"/>
      <w:r w:rsidRPr="002F646A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 района:</w:t>
      </w:r>
    </w:p>
    <w:p w:rsidR="00B954C8" w:rsidRPr="002F646A" w:rsidRDefault="00B954C8" w:rsidP="00B954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46A">
        <w:rPr>
          <w:rFonts w:ascii="Times New Roman" w:eastAsia="Calibri" w:hAnsi="Times New Roman" w:cs="Times New Roman"/>
          <w:b/>
          <w:sz w:val="24"/>
          <w:szCs w:val="24"/>
        </w:rPr>
        <w:t>Ежемесячная выплата при рождении (усыновлении) первого ребенка:</w:t>
      </w:r>
    </w:p>
    <w:p w:rsidR="00B954C8" w:rsidRPr="002F646A" w:rsidRDefault="00B954C8" w:rsidP="00B95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46A">
        <w:rPr>
          <w:rFonts w:ascii="Times New Roman" w:eastAsia="Calibri" w:hAnsi="Times New Roman" w:cs="Times New Roman"/>
          <w:sz w:val="24"/>
          <w:szCs w:val="24"/>
          <w:u w:val="single"/>
        </w:rPr>
        <w:t>выплату получили 220 человек.</w:t>
      </w:r>
    </w:p>
    <w:p w:rsidR="00B954C8" w:rsidRPr="002F646A" w:rsidRDefault="00B954C8" w:rsidP="00B954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С 01.01.2018 вступил в силу Федеральный закон от 28.12.2017 № 418-ФЗ «О ежемесячных выплатах семьям, имеющим детей», в соответствии с которым предоставляется ежемесячная выплата семьям при рождении (усыновлении) первого ребенка. Выплата производится </w:t>
      </w:r>
      <w:proofErr w:type="gramStart"/>
      <w:r w:rsidRPr="002F646A">
        <w:rPr>
          <w:rFonts w:ascii="Times New Roman" w:eastAsia="Calibri" w:hAnsi="Times New Roman" w:cs="Times New Roman"/>
          <w:sz w:val="24"/>
          <w:szCs w:val="24"/>
        </w:rPr>
        <w:t>за счет предоставления бюджету Удмуртской Республики из бюджета Российской Федерации субвенций на осуществление ежемесячной выплаты в связи с рождением</w:t>
      </w:r>
      <w:proofErr w:type="gramEnd"/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 (усыновлением) первого ребенка в целях оказания финансовой поддержки семьям, имеющим детей, в которых среднедушевой доход на каждого члена семьи не превышает2-х-кратную величину прожиточного минимума (21990,00 руб.) трудоспособного населения. Срок назначения указанной выплаты установлен </w:t>
      </w:r>
      <w:r w:rsidRPr="002F646A">
        <w:rPr>
          <w:rFonts w:ascii="Times New Roman" w:eastAsia="Calibri" w:hAnsi="Times New Roman" w:cs="Times New Roman"/>
          <w:bCs/>
          <w:sz w:val="24"/>
          <w:szCs w:val="24"/>
        </w:rPr>
        <w:t>до 3-х лет ребенку</w:t>
      </w:r>
      <w:r w:rsidRPr="002F646A">
        <w:rPr>
          <w:rFonts w:ascii="Calibri" w:eastAsia="Calibri" w:hAnsi="Calibri" w:cs="Times New Roman"/>
          <w:b/>
          <w:bCs/>
          <w:sz w:val="24"/>
          <w:szCs w:val="24"/>
        </w:rPr>
        <w:t>.</w:t>
      </w:r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 Размер выплаты на 1-го ребенка составлял10518,00 рублей.</w:t>
      </w:r>
    </w:p>
    <w:p w:rsidR="00B954C8" w:rsidRPr="002F646A" w:rsidRDefault="00B954C8" w:rsidP="00B95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46A">
        <w:rPr>
          <w:rFonts w:ascii="Times New Roman" w:eastAsia="Calibri" w:hAnsi="Times New Roman" w:cs="Times New Roman"/>
          <w:b/>
          <w:sz w:val="24"/>
          <w:szCs w:val="24"/>
        </w:rPr>
        <w:t>Ежемесячная денежная выплата при рождении в семье после 31 декабря 2017 года третьего и последующих детей:</w:t>
      </w:r>
    </w:p>
    <w:p w:rsidR="00B954C8" w:rsidRPr="002F646A" w:rsidRDefault="00B954C8" w:rsidP="00B95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46A">
        <w:rPr>
          <w:rFonts w:ascii="Times New Roman" w:eastAsia="Calibri" w:hAnsi="Times New Roman" w:cs="Times New Roman"/>
          <w:sz w:val="24"/>
          <w:szCs w:val="24"/>
          <w:u w:val="single"/>
        </w:rPr>
        <w:t>выплату получили 341 человек</w:t>
      </w:r>
      <w:r w:rsidRPr="002F64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54C8" w:rsidRPr="002F646A" w:rsidRDefault="00B954C8" w:rsidP="00B954C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46A">
        <w:rPr>
          <w:rFonts w:ascii="Times New Roman" w:eastAsia="Calibri" w:hAnsi="Times New Roman" w:cs="Times New Roman"/>
          <w:sz w:val="24"/>
          <w:szCs w:val="24"/>
        </w:rPr>
        <w:t>С 01.01.2018 вступил в силу Указ Главы Удмуртской Республики от21.11.2017 № 368 «Об установлении ежемесячной денежной выплаты нуждающимся в поддержке семьям при рождении в семье после 31 декабря 2017 года третьего и последующих детей».</w:t>
      </w:r>
    </w:p>
    <w:p w:rsidR="00B954C8" w:rsidRPr="002F646A" w:rsidRDefault="00B954C8" w:rsidP="00B954C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646A">
        <w:rPr>
          <w:rFonts w:ascii="Times New Roman" w:eastAsia="Calibri" w:hAnsi="Times New Roman" w:cs="Times New Roman"/>
          <w:sz w:val="24"/>
          <w:szCs w:val="24"/>
        </w:rPr>
        <w:t>Выплата производится за счет предоставления бюджету Удмуртской Республики из бюджета Российской Федерации субсидии на ежемесячную денежную выплату, назначаемую в случае рождения третьего и последующих детей до достижения ребенком возраста 3-х лет, в целях оказания финансовой поддержки семьям, имеющим трех и более детей, в которых среднедушевой доход на каждого члена семьи не превышал 21990,00 рубля, установленного законодательством.</w:t>
      </w:r>
      <w:proofErr w:type="gramEnd"/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 Размер выплаты на 3-го ребенка составлял10518,00 рублей;</w:t>
      </w:r>
    </w:p>
    <w:p w:rsidR="00B954C8" w:rsidRPr="002F646A" w:rsidRDefault="00B954C8" w:rsidP="00B954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46A">
        <w:rPr>
          <w:rFonts w:ascii="Times New Roman" w:eastAsia="Calibri" w:hAnsi="Times New Roman" w:cs="Times New Roman"/>
          <w:sz w:val="24"/>
          <w:szCs w:val="24"/>
        </w:rPr>
        <w:tab/>
      </w:r>
      <w:r w:rsidRPr="002F646A">
        <w:rPr>
          <w:rFonts w:ascii="Times New Roman" w:eastAsia="Calibri" w:hAnsi="Times New Roman" w:cs="Times New Roman"/>
          <w:b/>
          <w:sz w:val="24"/>
          <w:szCs w:val="24"/>
        </w:rPr>
        <w:t>Ежемесячная денежная выплата на ребенка в возрасте от 3 до 7 лет включительно:</w:t>
      </w:r>
    </w:p>
    <w:p w:rsidR="00B954C8" w:rsidRPr="002F646A" w:rsidRDefault="00B954C8" w:rsidP="00B95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F646A">
        <w:rPr>
          <w:rFonts w:ascii="Times New Roman" w:eastAsia="Calibri" w:hAnsi="Times New Roman" w:cs="Times New Roman"/>
          <w:sz w:val="24"/>
          <w:szCs w:val="24"/>
          <w:u w:val="single"/>
        </w:rPr>
        <w:t>выплату получат 1310 человек (после 1 апреля 2021 года - всем получателям будет автоматически произведен перерасчет с 1 января 2021 года).</w:t>
      </w:r>
    </w:p>
    <w:p w:rsidR="00B954C8" w:rsidRPr="002F646A" w:rsidRDefault="00B954C8" w:rsidP="00B95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09.06.2020 Управление оказывает данную </w:t>
      </w:r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выплату. Е</w:t>
      </w: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жемесячная выплата назначается на 12 месяцев со дня обращения получателя, но не более чем до дня достижения ребенком возраста восьми лет, и выплачивается одному из родителей или иному законному представителю ребенка, на каждого рожденного, усыновленного, принятого под опеку (попечительство) ребенка.</w:t>
      </w:r>
    </w:p>
    <w:p w:rsidR="00B954C8" w:rsidRPr="002F646A" w:rsidRDefault="00B954C8" w:rsidP="00B954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выплаты составит 50, 75 или 100 процентов величины прожиточного минимума для детей, установленного в Удмуртской Республике за второй квартал года, предшествующего году обращения за назначением указанной выплаты, т.е.5337,00 рублей, 8005,50 рублей или 10674,00 рубля</w:t>
      </w:r>
      <w:proofErr w:type="gram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Правительства </w:t>
      </w: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 </w:t>
      </w:r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30.04.2020 № 163 «Об утверждении Положения о порядке и условиях предоставления е</w:t>
      </w: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жемесячной денежной выплаты на ребенка в возрасте от трех до семи лет включительно</w:t>
      </w:r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»).</w:t>
      </w:r>
    </w:p>
    <w:p w:rsidR="00B954C8" w:rsidRPr="002F646A" w:rsidRDefault="00B954C8" w:rsidP="00B954C8">
      <w:pPr>
        <w:spacing w:before="1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646A">
        <w:rPr>
          <w:rFonts w:ascii="Times New Roman" w:eastAsia="Calibri" w:hAnsi="Times New Roman" w:cs="Times New Roman"/>
          <w:b/>
          <w:bCs/>
          <w:sz w:val="24"/>
          <w:szCs w:val="24"/>
        </w:rPr>
        <w:t>Единовременная материальная помощь студенческим семьям при рождении ребенка:</w:t>
      </w:r>
    </w:p>
    <w:p w:rsidR="00B954C8" w:rsidRPr="002F646A" w:rsidRDefault="00B954C8" w:rsidP="00B954C8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46A">
        <w:rPr>
          <w:rFonts w:ascii="Times New Roman" w:eastAsia="Calibri" w:hAnsi="Times New Roman" w:cs="Times New Roman"/>
          <w:sz w:val="24"/>
          <w:szCs w:val="24"/>
          <w:u w:val="single"/>
        </w:rPr>
        <w:t>выплату получили 2 человека</w:t>
      </w:r>
      <w:r w:rsidRPr="002F64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54C8" w:rsidRPr="002F646A" w:rsidRDefault="00B954C8" w:rsidP="00B954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64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01.01.2019 Управление оказывает </w:t>
      </w:r>
      <w:r w:rsidRPr="002F646A">
        <w:rPr>
          <w:rFonts w:ascii="Times New Roman" w:eastAsia="Calibri" w:hAnsi="Times New Roman" w:cs="Times New Roman"/>
          <w:bCs/>
          <w:sz w:val="24"/>
          <w:szCs w:val="24"/>
        </w:rPr>
        <w:t>материальную помощь студенческим семьям при рождении ребенка</w:t>
      </w:r>
      <w:r w:rsidRPr="002F646A">
        <w:rPr>
          <w:rFonts w:ascii="Times New Roman" w:eastAsia="Calibri" w:hAnsi="Times New Roman" w:cs="Times New Roman"/>
          <w:sz w:val="24"/>
          <w:szCs w:val="24"/>
        </w:rPr>
        <w:t>.</w:t>
      </w:r>
      <w:r w:rsidRPr="002F646A">
        <w:rPr>
          <w:rFonts w:ascii="Times New Roman" w:eastAsia="Calibri" w:hAnsi="Times New Roman" w:cs="Times New Roman"/>
          <w:bCs/>
          <w:sz w:val="24"/>
          <w:szCs w:val="24"/>
        </w:rPr>
        <w:t xml:space="preserve"> Материальная помощь оказывается единовременно в размере 100,00 тысяч рублей независимо от количества рожденных одновременно детей </w:t>
      </w:r>
      <w:r w:rsidRPr="002F646A">
        <w:rPr>
          <w:rFonts w:ascii="Times New Roman" w:eastAsia="Calibri" w:hAnsi="Times New Roman" w:cs="Times New Roman"/>
          <w:sz w:val="24"/>
          <w:szCs w:val="24"/>
        </w:rPr>
        <w:t>(</w:t>
      </w:r>
      <w:r w:rsidRPr="002F646A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Правительства </w:t>
      </w:r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Удмуртской Республики </w:t>
      </w:r>
      <w:r w:rsidRPr="002F646A">
        <w:rPr>
          <w:rFonts w:ascii="Times New Roman" w:eastAsia="Calibri" w:hAnsi="Times New Roman" w:cs="Times New Roman"/>
          <w:bCs/>
          <w:sz w:val="24"/>
          <w:szCs w:val="24"/>
        </w:rPr>
        <w:t>от 25.12.2020 № 631 «Об утверждении Положения о порядке оказания в 2021 году государственной социальной помощи в виде единовременной материальной помощи студенческим семьям при рождении ребенка»).</w:t>
      </w:r>
    </w:p>
    <w:p w:rsidR="00B954C8" w:rsidRPr="002F646A" w:rsidRDefault="00B954C8" w:rsidP="00B954C8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646A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 w:rsidRPr="002F646A">
        <w:rPr>
          <w:rFonts w:ascii="Times New Roman" w:eastAsia="Calibri" w:hAnsi="Times New Roman" w:cs="Times New Roman"/>
          <w:bCs/>
          <w:sz w:val="24"/>
          <w:szCs w:val="24"/>
        </w:rPr>
        <w:t>Право на получение государственной социальной помощи в виде единовременной материальной помощи имеют студенческие семьи, находящиеся в трудной жизненной ситуации, в связи с рождением ребенка, которые по независящим от них причинам имеют среднедушевой доход семьи ниже 2-х кратной величины прожиточного минимума, установленного в Удмуртской Республике в расчете на душу населения (20930,00 руб.).</w:t>
      </w:r>
      <w:proofErr w:type="gramEnd"/>
    </w:p>
    <w:p w:rsidR="00B954C8" w:rsidRPr="002F646A" w:rsidRDefault="00B954C8" w:rsidP="00B95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2F646A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Правительства Удмуртской Республики от 17.02.2021 № 70 «О внесении изменений в постановление Правительства Удмуртской Республики от 16.12.2013 № 589 «</w:t>
      </w:r>
      <w:r w:rsidRPr="002F646A">
        <w:rPr>
          <w:rFonts w:ascii="Times New Roman" w:eastAsia="Calibri" w:hAnsi="Times New Roman" w:cs="Times New Roman"/>
          <w:b/>
          <w:sz w:val="24"/>
          <w:szCs w:val="24"/>
        </w:rPr>
        <w:t>О предоставлении государственной социальной помощи на основании социального контракта</w:t>
      </w:r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» Управлением по состоянию на 01 июля 2021 года по </w:t>
      </w:r>
      <w:proofErr w:type="spellStart"/>
      <w:r w:rsidRPr="002F646A">
        <w:rPr>
          <w:rFonts w:ascii="Times New Roman" w:eastAsia="Calibri" w:hAnsi="Times New Roman" w:cs="Times New Roman"/>
          <w:sz w:val="24"/>
          <w:szCs w:val="24"/>
        </w:rPr>
        <w:t>Можгинскому</w:t>
      </w:r>
      <w:proofErr w:type="spellEnd"/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 району заключено </w:t>
      </w:r>
      <w:r w:rsidRPr="002F646A">
        <w:rPr>
          <w:rFonts w:ascii="Times New Roman" w:eastAsia="Calibri" w:hAnsi="Times New Roman" w:cs="Times New Roman"/>
          <w:b/>
          <w:sz w:val="24"/>
          <w:szCs w:val="24"/>
        </w:rPr>
        <w:t>23 социальных контракта</w:t>
      </w:r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 с малоимущими семьями, находящимися в трудной жизненной ситуации, на следующие мероприятия: </w:t>
      </w:r>
      <w:proofErr w:type="gramEnd"/>
    </w:p>
    <w:p w:rsidR="00B954C8" w:rsidRPr="002F646A" w:rsidRDefault="00B954C8" w:rsidP="00B95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16 контрактов – по поиску работы; </w:t>
      </w:r>
    </w:p>
    <w:p w:rsidR="00B954C8" w:rsidRPr="002F646A" w:rsidRDefault="00B954C8" w:rsidP="00B95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46A">
        <w:rPr>
          <w:rFonts w:ascii="Times New Roman" w:eastAsia="Calibri" w:hAnsi="Times New Roman" w:cs="Times New Roman"/>
          <w:sz w:val="24"/>
          <w:szCs w:val="24"/>
        </w:rPr>
        <w:t>4</w:t>
      </w:r>
      <w:r w:rsidR="00000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46A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="000005D0">
        <w:rPr>
          <w:rFonts w:ascii="Times New Roman" w:eastAsia="Calibri" w:hAnsi="Times New Roman" w:cs="Times New Roman"/>
          <w:sz w:val="24"/>
          <w:szCs w:val="24"/>
        </w:rPr>
        <w:t>а</w:t>
      </w:r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 – по осуществлению индивидуальной предпринимательской деятельности;</w:t>
      </w:r>
    </w:p>
    <w:p w:rsidR="00B954C8" w:rsidRPr="002F646A" w:rsidRDefault="00B954C8" w:rsidP="00B95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46A">
        <w:rPr>
          <w:rFonts w:ascii="Times New Roman" w:eastAsia="Calibri" w:hAnsi="Times New Roman" w:cs="Times New Roman"/>
          <w:sz w:val="24"/>
          <w:szCs w:val="24"/>
        </w:rPr>
        <w:t>1</w:t>
      </w:r>
      <w:r w:rsidR="000005D0">
        <w:rPr>
          <w:rFonts w:ascii="Times New Roman" w:eastAsia="Calibri" w:hAnsi="Times New Roman" w:cs="Times New Roman"/>
          <w:sz w:val="24"/>
          <w:szCs w:val="24"/>
        </w:rPr>
        <w:t xml:space="preserve"> контракт</w:t>
      </w:r>
      <w:r w:rsidRPr="002F646A">
        <w:rPr>
          <w:rFonts w:ascii="Times New Roman" w:eastAsia="Calibri" w:hAnsi="Times New Roman" w:cs="Times New Roman"/>
          <w:sz w:val="24"/>
          <w:szCs w:val="24"/>
        </w:rPr>
        <w:t xml:space="preserve"> – по ведению личного подсобного хозяйства;</w:t>
      </w:r>
    </w:p>
    <w:p w:rsidR="00B954C8" w:rsidRPr="002F646A" w:rsidRDefault="000005D0" w:rsidP="00B95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контракта</w:t>
      </w:r>
      <w:r w:rsidR="00B954C8" w:rsidRPr="002F646A">
        <w:rPr>
          <w:rFonts w:ascii="Times New Roman" w:eastAsia="Calibri" w:hAnsi="Times New Roman" w:cs="Times New Roman"/>
          <w:sz w:val="24"/>
          <w:szCs w:val="24"/>
        </w:rPr>
        <w:t xml:space="preserve"> – по осуществлению иных мероприятий, направленных на преодоление трудной жизненной ситуации.</w:t>
      </w:r>
    </w:p>
    <w:p w:rsidR="007E5EC9" w:rsidRPr="002F646A" w:rsidRDefault="007E5EC9" w:rsidP="00B954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5343" w:rsidRPr="002F646A" w:rsidRDefault="00B954C8" w:rsidP="006353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46A">
        <w:rPr>
          <w:rFonts w:ascii="Times New Roman" w:hAnsi="Times New Roman" w:cs="Times New Roman"/>
          <w:sz w:val="24"/>
          <w:szCs w:val="24"/>
        </w:rPr>
        <w:t>3</w:t>
      </w:r>
      <w:r w:rsidR="00D63E33" w:rsidRPr="002F646A">
        <w:rPr>
          <w:rFonts w:ascii="Times New Roman" w:hAnsi="Times New Roman" w:cs="Times New Roman"/>
          <w:sz w:val="24"/>
          <w:szCs w:val="24"/>
        </w:rPr>
        <w:t xml:space="preserve">. </w:t>
      </w:r>
      <w:r w:rsidR="00635343" w:rsidRPr="002F646A">
        <w:rPr>
          <w:rFonts w:ascii="Times New Roman" w:hAnsi="Times New Roman" w:cs="Times New Roman"/>
          <w:sz w:val="24"/>
          <w:szCs w:val="24"/>
        </w:rPr>
        <w:t>На 01 июля 2021 года в Администрации муниципального образования «</w:t>
      </w:r>
      <w:proofErr w:type="spellStart"/>
      <w:r w:rsidR="00635343" w:rsidRPr="002F646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635343" w:rsidRPr="002F646A">
        <w:rPr>
          <w:rFonts w:ascii="Times New Roman" w:hAnsi="Times New Roman" w:cs="Times New Roman"/>
          <w:sz w:val="24"/>
          <w:szCs w:val="24"/>
        </w:rPr>
        <w:t xml:space="preserve"> район» зарегистрировано 826 многодетных семей, в которых воспитываются 2736 детей, количество многодетных семей, которые воспользовались мерами социальной </w:t>
      </w:r>
      <w:r w:rsidR="00B34A4A" w:rsidRPr="002F646A">
        <w:rPr>
          <w:rFonts w:ascii="Times New Roman" w:hAnsi="Times New Roman" w:cs="Times New Roman"/>
          <w:sz w:val="24"/>
          <w:szCs w:val="24"/>
        </w:rPr>
        <w:t>поддержки – 835 человек</w:t>
      </w:r>
      <w:r w:rsidR="00635343" w:rsidRPr="002F646A">
        <w:rPr>
          <w:rFonts w:ascii="Times New Roman" w:hAnsi="Times New Roman" w:cs="Times New Roman"/>
          <w:sz w:val="24"/>
          <w:szCs w:val="24"/>
        </w:rPr>
        <w:t>.</w:t>
      </w:r>
    </w:p>
    <w:p w:rsidR="00635343" w:rsidRPr="002F646A" w:rsidRDefault="00635343" w:rsidP="00635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муниципальной подпрограммой «Социальная поддержка семьи и детей» и «Социальная поддержка отдельных категорий граждан» муниципальной программы «Социальная поддержка населения» на 2015-2024 годы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оказана материальная помощь 23 </w:t>
      </w:r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малоимущим семьям и малоимущим одиноко проживающим гражданам, а также гражданам, находящимся в трудной жизненной ситуации, </w:t>
      </w: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16 семьям с детьми, на общую сумму 48,0 тыс. руб.</w:t>
      </w:r>
      <w:proofErr w:type="gramEnd"/>
    </w:p>
    <w:p w:rsidR="006A1E84" w:rsidRPr="002F646A" w:rsidRDefault="006A1E84" w:rsidP="006A1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33" w:rsidRPr="002F646A" w:rsidRDefault="006D6A16" w:rsidP="00D63E33">
      <w:pPr>
        <w:spacing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2F646A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Проект: «Содействие занятости женщин - создание условий дошкольного образования для детей в возрасте до трех лет»</w:t>
      </w:r>
    </w:p>
    <w:p w:rsidR="0051015A" w:rsidRPr="002F646A" w:rsidRDefault="0051015A" w:rsidP="005101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Республиканского ЦЗН «ЦЗН города Можги и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апреле 2021 года проведено 7 «Клубов для работодателей»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которых приняли участие 209 организаций.  </w:t>
      </w:r>
    </w:p>
    <w:p w:rsidR="0051015A" w:rsidRPr="002F646A" w:rsidRDefault="0051015A" w:rsidP="00510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 информация размещена: </w:t>
      </w:r>
    </w:p>
    <w:p w:rsidR="0051015A" w:rsidRPr="002F646A" w:rsidRDefault="0051015A" w:rsidP="0051015A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Интернете: на страничке «ЦЗН г. Можги и </w:t>
      </w:r>
      <w:proofErr w:type="spellStart"/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>Можгинского</w:t>
      </w:r>
      <w:proofErr w:type="spellEnd"/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района»  интерактивного портала ГСЗН УР, на странице ВК «ЦЗН </w:t>
      </w:r>
      <w:proofErr w:type="spellStart"/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>.М</w:t>
      </w:r>
      <w:proofErr w:type="gramEnd"/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>ожги</w:t>
      </w:r>
      <w:proofErr w:type="spellEnd"/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 </w:t>
      </w:r>
      <w:proofErr w:type="spellStart"/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>Можгинского</w:t>
      </w:r>
      <w:proofErr w:type="spellEnd"/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района»;</w:t>
      </w:r>
    </w:p>
    <w:p w:rsidR="0051015A" w:rsidRPr="002F646A" w:rsidRDefault="0051015A" w:rsidP="0051015A">
      <w:pPr>
        <w:numPr>
          <w:ilvl w:val="0"/>
          <w:numId w:val="6"/>
        </w:numPr>
        <w:ind w:left="567" w:hanging="567"/>
        <w:contextualSpacing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на стендах и электронном табло ЦЗН г. Можги и </w:t>
      </w:r>
      <w:proofErr w:type="spellStart"/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>Можгинского</w:t>
      </w:r>
      <w:proofErr w:type="spellEnd"/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района;</w:t>
      </w:r>
    </w:p>
    <w:p w:rsidR="0051015A" w:rsidRPr="002F646A" w:rsidRDefault="0051015A" w:rsidP="0051015A">
      <w:pPr>
        <w:numPr>
          <w:ilvl w:val="0"/>
          <w:numId w:val="6"/>
        </w:numPr>
        <w:ind w:left="567" w:hanging="567"/>
        <w:contextualSpacing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на официальном </w:t>
      </w:r>
      <w:r w:rsidR="0058288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сайте </w:t>
      </w:r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>МО «</w:t>
      </w:r>
      <w:proofErr w:type="spellStart"/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>Можгинский</w:t>
      </w:r>
      <w:proofErr w:type="spellEnd"/>
      <w:r w:rsidRPr="002F6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район».</w:t>
      </w:r>
    </w:p>
    <w:p w:rsidR="0051015A" w:rsidRPr="002F646A" w:rsidRDefault="0051015A" w:rsidP="005101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46A">
        <w:rPr>
          <w:rFonts w:ascii="Times New Roman" w:hAnsi="Times New Roman" w:cs="Times New Roman"/>
          <w:sz w:val="24"/>
          <w:szCs w:val="24"/>
        </w:rPr>
        <w:lastRenderedPageBreak/>
        <w:t xml:space="preserve">Постоянно ведется индивидуальное информирование граждан по профессиональному обучению и дополнительному образованию в рамках национального проекта «Демография». </w:t>
      </w:r>
    </w:p>
    <w:p w:rsidR="00582889" w:rsidRPr="00582889" w:rsidRDefault="0051015A" w:rsidP="00582889">
      <w:pPr>
        <w:rPr>
          <w:rFonts w:ascii="Times New Roman" w:hAnsi="Times New Roman" w:cs="Times New Roman"/>
          <w:sz w:val="24"/>
          <w:szCs w:val="24"/>
        </w:rPr>
      </w:pPr>
      <w:r w:rsidRPr="002F646A">
        <w:rPr>
          <w:rFonts w:ascii="Times New Roman" w:hAnsi="Times New Roman" w:cs="Times New Roman"/>
          <w:sz w:val="24"/>
          <w:szCs w:val="24"/>
        </w:rPr>
        <w:t xml:space="preserve">В настоящее время граждан, приступивших к обучению нет.      </w:t>
      </w:r>
    </w:p>
    <w:p w:rsidR="006D6A16" w:rsidRPr="002F646A" w:rsidRDefault="006D6A16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  <w:r w:rsidRPr="002F646A">
        <w:rPr>
          <w:rFonts w:cs="Times New Roman"/>
          <w:b/>
          <w:bCs/>
          <w:color w:val="171717"/>
          <w:u w:val="single"/>
          <w:lang w:val="ru-RU"/>
        </w:rPr>
        <w:t>Проект: «Старшее поколение»</w:t>
      </w:r>
    </w:p>
    <w:p w:rsidR="00D63E33" w:rsidRPr="002F646A" w:rsidRDefault="00D63E33" w:rsidP="00AC50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171717"/>
          <w:kern w:val="1"/>
          <w:sz w:val="24"/>
          <w:szCs w:val="24"/>
          <w:lang w:eastAsia="hi-IN" w:bidi="hi-IN"/>
        </w:rPr>
      </w:pPr>
    </w:p>
    <w:p w:rsidR="00E617E0" w:rsidRPr="002F646A" w:rsidRDefault="00E617E0" w:rsidP="00D63E3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46A">
        <w:rPr>
          <w:rFonts w:ascii="Times New Roman" w:hAnsi="Times New Roman" w:cs="Times New Roman"/>
          <w:b/>
          <w:sz w:val="24"/>
          <w:szCs w:val="24"/>
        </w:rPr>
        <w:t>Реализации мероприятий регионального проекта «Старшее поколение» в составе наци</w:t>
      </w:r>
      <w:r w:rsidR="00D63E33" w:rsidRPr="002F646A">
        <w:rPr>
          <w:rFonts w:ascii="Times New Roman" w:hAnsi="Times New Roman" w:cs="Times New Roman"/>
          <w:b/>
          <w:sz w:val="24"/>
          <w:szCs w:val="24"/>
        </w:rPr>
        <w:t xml:space="preserve">онального проекта </w:t>
      </w:r>
      <w:r w:rsidR="008B6E53" w:rsidRPr="002F646A">
        <w:rPr>
          <w:rFonts w:ascii="Times New Roman" w:hAnsi="Times New Roman" w:cs="Times New Roman"/>
          <w:b/>
          <w:sz w:val="24"/>
          <w:szCs w:val="24"/>
        </w:rPr>
        <w:t>«Демография» проводится также Комплексным центром</w:t>
      </w:r>
      <w:r w:rsidR="00D63E33" w:rsidRPr="002F646A">
        <w:rPr>
          <w:rFonts w:ascii="Times New Roman" w:hAnsi="Times New Roman" w:cs="Times New Roman"/>
          <w:b/>
          <w:sz w:val="24"/>
          <w:szCs w:val="24"/>
        </w:rPr>
        <w:t xml:space="preserve"> социального обслуживания населения </w:t>
      </w:r>
      <w:r w:rsidRPr="002F646A">
        <w:rPr>
          <w:rFonts w:ascii="Times New Roman" w:hAnsi="Times New Roman" w:cs="Times New Roman"/>
          <w:b/>
          <w:sz w:val="24"/>
          <w:szCs w:val="24"/>
        </w:rPr>
        <w:t xml:space="preserve"> города Можги</w:t>
      </w:r>
      <w:r w:rsidR="00D63E33" w:rsidRPr="002F64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1015A" w:rsidRPr="002F646A" w:rsidRDefault="0051015A" w:rsidP="00510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 квартале 2021 года всего получили социальные услуги 449 пожилых граждан и инвалидов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Им оказано 12959 услуг.</w:t>
      </w:r>
    </w:p>
    <w:p w:rsidR="0051015A" w:rsidRPr="002F646A" w:rsidRDefault="0051015A" w:rsidP="00510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Задача регионального проекта «Старшее поколение»  по укреплению здоровья, увеличению периода активного долголетия и продолжительности здоровой жизни  осуществляется  </w:t>
      </w:r>
      <w:r w:rsidRPr="002F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работой  Учреждения по вовлечению граждан старшего поколения в активные виды деятельности, а также по реализации  инновационных оздоровительных технологий. </w:t>
      </w:r>
    </w:p>
    <w:p w:rsidR="0051015A" w:rsidRPr="002F646A" w:rsidRDefault="0051015A" w:rsidP="00510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учреждения проводится работа по реализации плана мероприятий по улучшению положения и качества жизни пожилых людей.</w:t>
      </w:r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Оздоровительные мероприятия, направленные на формирование и поддержание активного образа жизни граждан пожилого возраста проводятся в</w:t>
      </w: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клубе по интересам в с.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 занимается 41 человек. Граждане пожилого возраста занимаются скандинавской ходьбой, ЛФК, плаванием.</w:t>
      </w:r>
    </w:p>
    <w:p w:rsidR="0051015A" w:rsidRPr="002F646A" w:rsidRDefault="0051015A" w:rsidP="00510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июня 2021 года был проведен 3 фестиваль скандинавской ходьбы «Здоровое долголетие» среди граждан пожилого возраста, в котором приняли участие  71 житель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Фестиваль проходил на двух площадках: КСЦ «Можга» и в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ычас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015A" w:rsidRPr="002F646A" w:rsidRDefault="0051015A" w:rsidP="005101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образовательным программам прошли обучение 193 пожилых граждан и инвалидов в форме стационара и полустационара, из них жителей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83 чел., которым предоставлено 332 услуги. Занятия проводились по обучению социальной независимости, пользованию техническими средствами реабилитации, навыкам безопасного поведения в быту и общественных местах, навыкам занятий физкультурой и спортом, компьютерной грамотности. </w:t>
      </w:r>
    </w:p>
    <w:p w:rsidR="0051015A" w:rsidRPr="002F646A" w:rsidRDefault="0051015A" w:rsidP="00510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«Волонтеры «серебряного» возраста» реализуется 25 пожилыми гражданами </w:t>
      </w:r>
      <w:proofErr w:type="gramStart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Можги, д. Новая Бия, д. М. </w:t>
      </w:r>
      <w:proofErr w:type="spellStart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Сюга</w:t>
      </w:r>
      <w:proofErr w:type="spellEnd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</w:t>
      </w:r>
      <w:proofErr w:type="spellStart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Б.Сибы</w:t>
      </w:r>
      <w:proofErr w:type="spellEnd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поздравлений на дому маломобильных граждан с юбилейными датами, оказывают помощь в событийных мероприятиях. В рамках акции «Верба» 14 волонтеров участвовали во вручении освященных веточек маломобильным гражданам </w:t>
      </w:r>
      <w:proofErr w:type="spellStart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д.Б.Сибы</w:t>
      </w:r>
      <w:proofErr w:type="spellEnd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«Серебряные волонтеры» </w:t>
      </w:r>
      <w:proofErr w:type="spellStart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д.Н.Бия</w:t>
      </w:r>
      <w:proofErr w:type="spellEnd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оказали помощь в организации фестиваля скандинавской ходьбы.</w:t>
      </w:r>
    </w:p>
    <w:p w:rsidR="0051015A" w:rsidRPr="002F646A" w:rsidRDefault="0051015A" w:rsidP="00510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«Мобильной бригадой» по доставке лиц старше 65 лет, проживающих в сельской местности, в медицинские организации осуществлено 80 выездов, количество граждан, получивших медицинскую помощь на дому -  5526 чел. Количество </w:t>
      </w:r>
      <w:proofErr w:type="gramStart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граждан, доставленных в пункты вакцинации против </w:t>
      </w:r>
      <w:proofErr w:type="spellStart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короновирусной</w:t>
      </w:r>
      <w:proofErr w:type="spellEnd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 составило</w:t>
      </w:r>
      <w:proofErr w:type="gramEnd"/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474 человека. </w:t>
      </w:r>
    </w:p>
    <w:p w:rsidR="0051015A" w:rsidRPr="002F646A" w:rsidRDefault="0051015A" w:rsidP="0051015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2. В рамках осуществления задачи по созданию системы долговременного ухода, а также поддержки семейного ухода</w:t>
      </w:r>
      <w:r w:rsidRPr="002F6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6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является участником пилотного проекта</w:t>
      </w:r>
      <w:r w:rsidRPr="002F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Минсоцполитики</w:t>
      </w:r>
      <w:proofErr w:type="spellEnd"/>
      <w:r w:rsidRPr="002F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 по данному направлению. Используется форма </w:t>
      </w: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обслуживание на дому и стационарное социальное обслуживание. Системой долговременного ухода за </w:t>
      </w:r>
      <w:r w:rsidRPr="002F6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период в районе охвачено 302 человека. В рамках данной программы социальные услуги в форме на дому получили в </w:t>
      </w:r>
      <w:proofErr w:type="spellStart"/>
      <w:r w:rsidRPr="002F6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Можгинском</w:t>
      </w:r>
      <w:proofErr w:type="spellEnd"/>
      <w:r w:rsidRPr="002F6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районе - 267 чел. Наиболее востребованы социально-бытовые услуги: уборка помещения, </w:t>
      </w:r>
      <w:r w:rsidRPr="002F6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приготовление пищи, приобретение продуктов питания. </w:t>
      </w:r>
      <w:r w:rsidRPr="002F64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Услуги сиделки получили 9 человек, им оказано 2362 услуг. Из общего количества, получивших услуги, 12 человек являются ветеранами войны (1 инвалид </w:t>
      </w:r>
      <w:proofErr w:type="spellStart"/>
      <w:r w:rsidRPr="002F64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ВОв</w:t>
      </w:r>
      <w:proofErr w:type="spellEnd"/>
      <w:r w:rsidRPr="002F64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1 участник ВОВ, 3 вдовы, 12 участников трудового фронта). Им оказано 1785 услуг. Услугами по доставке лекарств на дом воспользовались 112 человек, в том числе 17 одиноких пожилых граждан.</w:t>
      </w:r>
    </w:p>
    <w:p w:rsidR="0051015A" w:rsidRPr="002F646A" w:rsidRDefault="0051015A" w:rsidP="0051015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В стационарной форме обслужено 26 пожилых граждан района, это составило 3623 услуги. В полустационарной форме обслужено 49 человек, ими получено 4002 услуги.</w:t>
      </w:r>
    </w:p>
    <w:p w:rsidR="0051015A" w:rsidRPr="002F646A" w:rsidRDefault="0051015A" w:rsidP="00510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Пользуется популярностью «Служба сервиса» по оказанию дополнительных платных услуг на дому, таких как услуги парикмахера, юрисконсульта, психолога и хозяйственные услуги. В 2 квартале 2021 года осуществлено 27 выездов. Отделением срочного социального обслуживания предоставлено 2344 услуг 542 гражданам, в том числе 9 ветеранам ВОВ и приравненных к ним лицам.        </w:t>
      </w:r>
    </w:p>
    <w:p w:rsidR="0051015A" w:rsidRPr="002F646A" w:rsidRDefault="0051015A" w:rsidP="00510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Проводится обследование материально-бытовых условий проживания и потребности в социальных услугах граждан пожилого возраста и инвалидов. Обследовано 53 чел., принято на обслуживание 41 чел. </w:t>
      </w:r>
    </w:p>
    <w:p w:rsidR="0051015A" w:rsidRPr="002F646A" w:rsidRDefault="0051015A" w:rsidP="00510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о работе, проводимой учреждением в рамках реализации национального проекта «Демография», размещена на сайте и на стендах учреждения, систематически проводятся публикации в социальных сетях. Ведется сотрудничество с Советом ветеранов </w:t>
      </w:r>
      <w:proofErr w:type="spellStart"/>
      <w:r w:rsidRPr="002F6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Можгинского</w:t>
      </w:r>
      <w:proofErr w:type="spellEnd"/>
      <w:r w:rsidRPr="002F6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  активными пожилыми гражданами района, которые ведут разъяснительную и информационную работу в </w:t>
      </w:r>
      <w:proofErr w:type="spellStart"/>
      <w:r w:rsidRPr="002F6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Можгинском</w:t>
      </w:r>
      <w:proofErr w:type="spellEnd"/>
      <w:r w:rsidRPr="002F6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районе.  </w:t>
      </w:r>
    </w:p>
    <w:p w:rsidR="004B08A7" w:rsidRPr="002F646A" w:rsidRDefault="004B08A7" w:rsidP="004B0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6A16" w:rsidRPr="002F646A" w:rsidRDefault="006D6A16" w:rsidP="00AC509C">
      <w:pPr>
        <w:spacing w:line="240" w:lineRule="auto"/>
        <w:ind w:left="-540" w:firstLine="72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</w:pPr>
      <w:r w:rsidRPr="002F646A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Проект: «Укрепление общественного здоровья»</w:t>
      </w:r>
    </w:p>
    <w:p w:rsidR="006A1E84" w:rsidRPr="006A1E84" w:rsidRDefault="006A1E84" w:rsidP="006A1E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2F646A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БУЗ УР "</w:t>
      </w:r>
      <w:proofErr w:type="spellStart"/>
      <w:r w:rsidRPr="002F646A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Можгинская</w:t>
      </w:r>
      <w:proofErr w:type="spellEnd"/>
      <w:r w:rsidRPr="002F646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районная б</w:t>
      </w:r>
      <w:r w:rsidR="003A1BA8" w:rsidRPr="002F646A">
        <w:rPr>
          <w:rFonts w:ascii="Times New Roman" w:eastAsia="Times New Roman" w:hAnsi="Times New Roman" w:cs="Times New Roman"/>
          <w:color w:val="171717"/>
          <w:sz w:val="24"/>
          <w:szCs w:val="24"/>
        </w:rPr>
        <w:t>ольница МЗ УР" во 2</w:t>
      </w:r>
      <w:r w:rsidR="007E5EC9" w:rsidRPr="002F646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квартале 2021</w:t>
      </w:r>
      <w:r w:rsidRPr="002F646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года проведены следующие мероприятия в рамках реализации национального проекта «Демография» в </w:t>
      </w:r>
      <w:proofErr w:type="spellStart"/>
      <w:r w:rsidRPr="002F646A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Можгинском</w:t>
      </w:r>
      <w:proofErr w:type="spellEnd"/>
      <w:r w:rsidRPr="002F646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районе:</w:t>
      </w:r>
      <w:r w:rsidRPr="006A1E84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</w:p>
    <w:p w:rsidR="003A1BA8" w:rsidRDefault="003A1BA8" w:rsidP="006A1E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6"/>
        <w:gridCol w:w="3686"/>
      </w:tblGrid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3A1BA8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Активное привлечение населения к прохождению диспансеризации, информирование о ее целях и задачах.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Подлежало – 2128 чел.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Осмотр. – 2384 чел.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Охват –  112 %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Составление реестра и работа с населением не проходившим медицинское обследование  в течени</w:t>
            </w:r>
            <w:proofErr w:type="gram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проходили</w:t>
            </w:r>
            <w:proofErr w:type="gram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 в течение длительного времени более 2 лет – 310 человек-3,1%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  мероприятий,  направленных на  профилактику, выявление и лечение социально-значимых заболеваний (инфекции, передаваемые половым путем, сахарный диабет, психические расстройства,  туберкулез,  ВИЧ-инфекции)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Выявлено: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СД – 53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Tbc</w:t>
            </w:r>
            <w:proofErr w:type="spell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ВИЧ – 3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ЗППП – 31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Обследование беременных женщин высокой группы риска с последующим выполнением программ лечения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Состоят на учете 2 беременные высокой группы риска; прошли обследование все.   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Направление женщин страдающих бесплодием на экстракорпоральное оплодотворение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Состоит на учете по поводу бесплодия 17 пар; получили квоту – 2пары;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На этапе обследования – 7 пар.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передвижного медицинского комплекса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Количество выездов- 0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Передвижной комплекс находится в неисправном состоянии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Выезды  мобильных медицинских бригад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выездов- 32 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 по формированию здорового образа жизни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Выступления в СМИ.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Работа Школы здоровья: «Школа здоровья для пациентов с сахарным диабетом», «Школа здоровья для пациентов с артериальной гипертонией», «Школа здоровья для пациентов с бронхиальной астмой»,  «Школа здоровья для беременных».</w:t>
            </w:r>
          </w:p>
          <w:p w:rsidR="003A1BA8" w:rsidRPr="00600B06" w:rsidRDefault="003A1BA8" w:rsidP="001B70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Охвачено: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СД – 1 «школа здоровья» – 176 человек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АД – 1 «школа здоровья» – 32 чел.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«Школа беременных» - 65  человек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кабинета </w:t>
            </w:r>
            <w:proofErr w:type="spell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предабортного</w:t>
            </w:r>
            <w:proofErr w:type="spell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 </w:t>
            </w:r>
            <w:proofErr w:type="gram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женской консультаций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В кабинет медико-социальной помощи ж/</w:t>
            </w:r>
            <w:proofErr w:type="gram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обратилось 11 женщин с намерением прервать беременность. Отказались от аборта 4 женщины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бесед с учащимися  образовательных организаций по вопросам сохранения репродуктивного здоровья, профилактики абортов и нежелательной беременности, эффективных методов контрацепции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На выездах по диспансеризации беседы  детского и подросткового гинеколога, охват – 156 девочек.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pStyle w:val="aa"/>
              <w:spacing w:before="0" w:beforeAutospacing="0" w:after="0" w:afterAutospacing="0"/>
              <w:ind w:left="57"/>
            </w:pPr>
            <w:r w:rsidRPr="00600B06">
              <w:t xml:space="preserve"> ведение "периода ожидания" для женщин, решивших прервать беременность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Прервано – 6 беременностей, отказ от прерывания беременности - 1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pStyle w:val="aa"/>
              <w:spacing w:before="0" w:beforeAutospacing="0" w:after="0" w:afterAutospacing="0"/>
              <w:ind w:left="57"/>
            </w:pPr>
            <w:r w:rsidRPr="00600B06">
              <w:t xml:space="preserve">изготовление и размещение информационных и наглядных материалов о вреде абортов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В женской консультации ежедневно «Он-</w:t>
            </w:r>
            <w:proofErr w:type="spell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pStyle w:val="aa"/>
              <w:spacing w:before="0" w:beforeAutospacing="0" w:after="0" w:afterAutospacing="0"/>
              <w:ind w:left="57"/>
            </w:pPr>
            <w:r w:rsidRPr="00600B06">
              <w:t xml:space="preserve">демонстрация фильмов о профилактике абортов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В жен</w:t>
            </w:r>
            <w:proofErr w:type="gram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онс</w:t>
            </w:r>
            <w:proofErr w:type="spell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. ежедневно «он-</w:t>
            </w:r>
            <w:proofErr w:type="spell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pStyle w:val="aa"/>
              <w:spacing w:before="0" w:beforeAutospacing="0" w:after="0" w:afterAutospacing="0"/>
              <w:ind w:left="57"/>
            </w:pPr>
            <w:r w:rsidRPr="00600B06">
              <w:t xml:space="preserve">проведение медико - психологического консультирования женщин по вопросам незапланированной беременности в ЖК, в кабинете планирования семьи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Психологичесоке</w:t>
            </w:r>
            <w:proofErr w:type="spell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женщин по вопросам незапланированной беременности в ЖК – 8 женщин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pStyle w:val="aa"/>
              <w:spacing w:before="0" w:beforeAutospacing="0" w:after="0" w:afterAutospacing="0"/>
              <w:ind w:left="57"/>
            </w:pPr>
            <w:r w:rsidRPr="00600B06">
              <w:t xml:space="preserve">охват женщин детородного возраста, женщин с тяжелой соматической патологией эффективными методами контрацепции </w:t>
            </w:r>
            <w:r w:rsidRPr="00600B06"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женщин с тяжелой соматической патологией – 9 эффективными методами контрацепции –</w:t>
            </w:r>
          </w:p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75 % </w:t>
            </w:r>
            <w:r w:rsidRPr="00600B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pStyle w:val="aa"/>
              <w:spacing w:before="0" w:beforeAutospacing="0" w:after="0" w:afterAutospacing="0"/>
              <w:ind w:left="57"/>
            </w:pPr>
            <w:r w:rsidRPr="00600B06">
              <w:t xml:space="preserve">беседа с беременными о методах контрацепции после родов </w:t>
            </w:r>
            <w:r w:rsidRPr="00600B06"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1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С каждой женщиной в родильном доме после родов и в женской консультации проводят беседу о </w:t>
            </w:r>
            <w:r w:rsidRPr="00600B06">
              <w:rPr>
                <w:rFonts w:ascii="Times New Roman" w:hAnsi="Times New Roman" w:cs="Times New Roman"/>
              </w:rPr>
              <w:t>контрацепции после родов</w:t>
            </w:r>
            <w:r w:rsidRPr="00600B06">
              <w:t xml:space="preserve"> </w:t>
            </w:r>
            <w:r w:rsidRPr="00600B06">
              <w:br/>
            </w:r>
          </w:p>
        </w:tc>
      </w:tr>
    </w:tbl>
    <w:p w:rsidR="00F676F2" w:rsidRDefault="00F676F2" w:rsidP="00AC509C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:rsidR="000005D0" w:rsidRPr="0051015A" w:rsidRDefault="000005D0" w:rsidP="00AC509C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:rsidR="00B80865" w:rsidRDefault="00B80865" w:rsidP="0051015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15A" w:rsidRPr="002F646A" w:rsidRDefault="006D6A16" w:rsidP="0051015A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4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Проект «Спорт-норма жизни»</w:t>
      </w:r>
      <w:r w:rsidR="006A1E84" w:rsidRPr="002F646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524F1" w:rsidRPr="002F646A" w:rsidRDefault="00F524F1" w:rsidP="00F52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укрепления общественного здоровья в районе действует подпрограмма «Создание условий для развития физической культуры и спорта» муниципальной программы муниципального образования  «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«Охрана здоровья и формирование здорового образа жизни населения на 2015-2024 гг.», которая утверждена постановлением Администрации муниципального образования «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26 сентября 2014 года № 1084. </w:t>
      </w:r>
    </w:p>
    <w:p w:rsidR="00F524F1" w:rsidRPr="002F646A" w:rsidRDefault="00F524F1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активно спортивно-массовая и физкультурно-оздоровительная работа проводится на территории МО «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Большеучинское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Нынекское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Большепудгинское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Нышинское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Сюгаильское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Большекибьинское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МО «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Пычасское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Этому способствует хорошая материальная база и наличие необходимого инвентаря, в штате сельских домов культуры действуют ставки методистов специализирующихся по направлению спорта.  На территории МО «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Большеучинское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МО «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Нынекское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организована спартакиада по 8 видам спорта, финансируется развитие детского спорта, организуются товарищеские встречи по волейболу и баскетболу, хоккейные турниры, турниры по мини-футболу.</w:t>
      </w:r>
    </w:p>
    <w:p w:rsidR="00F524F1" w:rsidRPr="002F646A" w:rsidRDefault="00F524F1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спортивно-массовой и агитационно-пропагандистской работы проводится спартакиада среди образовательных учреждений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18 видам спорта.</w:t>
      </w:r>
    </w:p>
    <w:p w:rsidR="00F524F1" w:rsidRPr="002F646A" w:rsidRDefault="00F524F1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сектором спорта и молодежной политики проводятся зимние и летние спортивные игры района с целью дальнейшего внедрения физической культуры и спорта в повседневный быт тружеников района; улучшения физкультурно-оздоровительной работы в трудовых коллективах, пропаганды здорового образа жизни,  организации культурного досуга сельских жителей; выявления сильнейших спортсменов для участия в Республиканских зимних и летних сельских спортивных играх.</w:t>
      </w:r>
      <w:proofErr w:type="gramEnd"/>
    </w:p>
    <w:p w:rsidR="00F524F1" w:rsidRPr="002F646A" w:rsidRDefault="00F524F1" w:rsidP="00F52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с</w:t>
      </w:r>
      <w:r w:rsidRPr="002F646A">
        <w:rPr>
          <w:rFonts w:ascii="&amp;amp" w:eastAsia="Times New Roman" w:hAnsi="&amp;amp" w:cs="Times New Roman"/>
          <w:sz w:val="24"/>
          <w:szCs w:val="24"/>
          <w:lang w:eastAsia="ru-RU"/>
        </w:rPr>
        <w:t xml:space="preserve">ерьезное внимание уделяется развитию инвалидного спорта. </w:t>
      </w: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статистической отчетности, число </w:t>
      </w:r>
      <w:proofErr w:type="gram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культурой и спортом составляет 202 (АППГ-189) человека. Спортсмены района принимают участие в Республиканской Спартакиаде инвалидного спорта, посвященной всероссийскому празднику «День физкультурника». </w:t>
      </w:r>
    </w:p>
    <w:p w:rsidR="00F524F1" w:rsidRPr="002F646A" w:rsidRDefault="00F524F1" w:rsidP="00F52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оборудовано семь спортивно-досуговых площадок:</w:t>
      </w:r>
    </w:p>
    <w:p w:rsidR="00F524F1" w:rsidRPr="002F646A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спортивно-игровая площадка (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Вишур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площадки в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д.Пазял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524F1" w:rsidRPr="002F646A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площадка для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воркаута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дмурт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Сюгаил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д.Пазял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524F1" w:rsidRPr="002F646A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площадка для сдачи норм ГТО (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ычас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524F1" w:rsidRPr="002F646A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игровая площадка (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азял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524F1" w:rsidRPr="002F646A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организовано 13 троп здоровья для лиц, занимающихся северной ходьбой (с. Большая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Кибья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Верхние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Малая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Большая</w:t>
      </w:r>
      <w:proofErr w:type="gram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ча, с. Горняк, с. Черемушки, д.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Кватчи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Малая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Воложикья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Мельниково, с. Можга, д. Старые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Какси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Ныша, д.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Пазял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</w:t>
      </w:r>
      <w:proofErr w:type="spell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Сардан</w:t>
      </w:r>
      <w:proofErr w:type="spell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524F1" w:rsidRPr="002F646A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популярными и массовыми видами спорта в районе являются волейбол, легкоатлетические пробеги, лыжные гонки, зимние и летние игры. В 2020 году увеличилось число занимающихся физической культурой и спортом с 7503 до 10560 человек, что составляет 44,34% от общего числа населения района, по данным Росстата население от 3 до 80 лет </w:t>
      </w:r>
      <w:proofErr w:type="gram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01.01.2021 </w:t>
      </w:r>
      <w:proofErr w:type="gramStart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238218 человек.</w:t>
      </w:r>
    </w:p>
    <w:p w:rsidR="0051015A" w:rsidRPr="002F646A" w:rsidRDefault="0051015A" w:rsidP="00F524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полугодие 2021 года проведено </w:t>
      </w:r>
      <w:r w:rsidR="00F524F1"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массовых мероприятий,</w:t>
      </w: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которых</w:t>
      </w:r>
      <w:r w:rsidR="00F524F1"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</w:t>
      </w: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1957 человек. </w:t>
      </w:r>
    </w:p>
    <w:p w:rsidR="0051015A" w:rsidRPr="002F646A" w:rsidRDefault="0051015A" w:rsidP="005101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января по июнь 2021 года наиболее значимыми и массовыми мероприятиями стали:</w:t>
      </w:r>
    </w:p>
    <w:p w:rsidR="0051015A" w:rsidRPr="002F646A" w:rsidRDefault="0051015A" w:rsidP="005101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6926"/>
        <w:gridCol w:w="2288"/>
      </w:tblGrid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926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мероприятий</w:t>
            </w:r>
          </w:p>
        </w:tc>
        <w:tc>
          <w:tcPr>
            <w:tcW w:w="2288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</w:t>
            </w:r>
            <w:proofErr w:type="spellStart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хоккею на призы с/х </w:t>
            </w: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предприятий, 04,06,08.01.2021г.</w:t>
            </w:r>
          </w:p>
        </w:tc>
        <w:tc>
          <w:tcPr>
            <w:tcW w:w="2288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7-е открытые районные соревнования по лыжным гонкам Ю.Н. Бибикова, 22.01.2021г.</w:t>
            </w:r>
          </w:p>
        </w:tc>
        <w:tc>
          <w:tcPr>
            <w:tcW w:w="2288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35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Зимнее многоборье ГТО на призы ДОСААФ,  23.01.2021г.</w:t>
            </w:r>
          </w:p>
        </w:tc>
        <w:tc>
          <w:tcPr>
            <w:tcW w:w="2288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20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Баскетбол стыковой турнир среди мужчин , 24.01.2021г.</w:t>
            </w:r>
          </w:p>
        </w:tc>
        <w:tc>
          <w:tcPr>
            <w:tcW w:w="2288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11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Районные соревнования в зачет 24-х зимних спортивных игр, 30.01.2021г.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 80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Волейбол среди женщин на кубок ПСК, 31.01.2021г.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10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24-е зимние сельские спортивные игры, 06.02.2021г.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21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«Лыжня России», 13.02.2021г.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150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Баскетбол Первенство района в зачет спартакиады МО, 21.01.2021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60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Фестиваль северной ходьбы, 20.02.2021г.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42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Лыжные гонки, посвященные памяти С.М. Шишкина, Е.Г. Батуева, М.И. Иванова, 07.03.2021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200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7-я районная спартакиада пенсионеров, 05.03.2021г.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75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по </w:t>
            </w:r>
            <w:proofErr w:type="spellStart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парапланерному</w:t>
            </w:r>
            <w:proofErr w:type="spellEnd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 спорту,  06-07.03.2021г.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3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6-я Республиканская спартакиада пенсионеров, 18.03.2021г.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13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Баскетбол имени Сергея </w:t>
            </w:r>
            <w:proofErr w:type="spellStart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Кирдяева</w:t>
            </w:r>
            <w:proofErr w:type="spellEnd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, 27.03.2021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60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Волейбол имени Сергея </w:t>
            </w:r>
            <w:proofErr w:type="spellStart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Кирдяева</w:t>
            </w:r>
            <w:proofErr w:type="spellEnd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, 28.03.2021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40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Волейбол в зачет Спартакиады муниципального образования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130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Настольный теннис в зачет 28-х летних сельских спортивных игр </w:t>
            </w:r>
            <w:proofErr w:type="spellStart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24 человека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Зимняя спартакиада молодежи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78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Легкоатлетический пробег Горняк-</w:t>
            </w:r>
            <w:proofErr w:type="spellStart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Пычас</w:t>
            </w:r>
            <w:proofErr w:type="spellEnd"/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431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Полиатлон</w:t>
            </w:r>
            <w:proofErr w:type="spellEnd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 в зачет 28-х летних сельских спортивных игр </w:t>
            </w:r>
            <w:proofErr w:type="spellStart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30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Шашки среди спортивных семей в зачет 28-х летних сельских спортивных игр </w:t>
            </w:r>
            <w:proofErr w:type="spellStart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15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Лапта в зачет 28-х летних сельских спортивных игр </w:t>
            </w:r>
            <w:proofErr w:type="spellStart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65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28-е летние сельские спортивные игры </w:t>
            </w:r>
            <w:proofErr w:type="spellStart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150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Районный туристический фестиваль «На районе-2021»</w:t>
            </w:r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140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926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Награждение победителей Всероссийской спартакиады специальной олимпиады Волейбол-</w:t>
            </w:r>
            <w:proofErr w:type="spellStart"/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юнифайд</w:t>
            </w:r>
            <w:proofErr w:type="spellEnd"/>
          </w:p>
        </w:tc>
        <w:tc>
          <w:tcPr>
            <w:tcW w:w="2288" w:type="dxa"/>
            <w:shd w:val="clear" w:color="auto" w:fill="auto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14 человек</w:t>
            </w:r>
          </w:p>
        </w:tc>
      </w:tr>
      <w:tr w:rsidR="0051015A" w:rsidRPr="002F646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6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Итого: 1957 человек</w:t>
            </w:r>
          </w:p>
        </w:tc>
      </w:tr>
      <w:tr w:rsidR="0051015A" w:rsidRPr="0051015A" w:rsidTr="00582889">
        <w:tc>
          <w:tcPr>
            <w:tcW w:w="567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6" w:type="dxa"/>
          </w:tcPr>
          <w:p w:rsidR="0051015A" w:rsidRPr="002F646A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Количество граждан сдавших нормы ГТО</w:t>
            </w:r>
          </w:p>
        </w:tc>
        <w:tc>
          <w:tcPr>
            <w:tcW w:w="2288" w:type="dxa"/>
          </w:tcPr>
          <w:p w:rsidR="0051015A" w:rsidRPr="0051015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6A">
              <w:rPr>
                <w:rFonts w:ascii="Times New Roman" w:eastAsia="Times New Roman" w:hAnsi="Times New Roman" w:cs="Times New Roman"/>
                <w:lang w:eastAsia="ru-RU"/>
              </w:rPr>
              <w:t>77 человек</w:t>
            </w:r>
          </w:p>
        </w:tc>
      </w:tr>
    </w:tbl>
    <w:p w:rsidR="0051015A" w:rsidRPr="0051015A" w:rsidRDefault="0051015A" w:rsidP="0020264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6A16" w:rsidRPr="004349A7" w:rsidRDefault="006D6A16" w:rsidP="004349A7">
      <w:pPr>
        <w:spacing w:before="240" w:line="36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D6A16" w:rsidRPr="0043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am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E63"/>
    <w:multiLevelType w:val="hybridMultilevel"/>
    <w:tmpl w:val="CE02CF60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765197"/>
    <w:multiLevelType w:val="hybridMultilevel"/>
    <w:tmpl w:val="BC3247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1F5305C"/>
    <w:multiLevelType w:val="hybridMultilevel"/>
    <w:tmpl w:val="EF846034"/>
    <w:lvl w:ilvl="0" w:tplc="3586D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C46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89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FA8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20D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212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02EE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65E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F0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673C0"/>
    <w:multiLevelType w:val="hybridMultilevel"/>
    <w:tmpl w:val="C818C4D6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8C3FD7"/>
    <w:multiLevelType w:val="hybridMultilevel"/>
    <w:tmpl w:val="82AA1E50"/>
    <w:lvl w:ilvl="0" w:tplc="E0BE5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EDD663F"/>
    <w:multiLevelType w:val="hybridMultilevel"/>
    <w:tmpl w:val="E76E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C"/>
    <w:rsid w:val="000005D0"/>
    <w:rsid w:val="00002861"/>
    <w:rsid w:val="0019490F"/>
    <w:rsid w:val="001D01E5"/>
    <w:rsid w:val="00202644"/>
    <w:rsid w:val="002B035A"/>
    <w:rsid w:val="002F646A"/>
    <w:rsid w:val="003A1BA8"/>
    <w:rsid w:val="003F06F7"/>
    <w:rsid w:val="003F676D"/>
    <w:rsid w:val="004349A7"/>
    <w:rsid w:val="0047107E"/>
    <w:rsid w:val="004B08A7"/>
    <w:rsid w:val="004C258E"/>
    <w:rsid w:val="004E7314"/>
    <w:rsid w:val="0051015A"/>
    <w:rsid w:val="00582889"/>
    <w:rsid w:val="005A7D11"/>
    <w:rsid w:val="00635343"/>
    <w:rsid w:val="0066460A"/>
    <w:rsid w:val="006659C6"/>
    <w:rsid w:val="006A1E84"/>
    <w:rsid w:val="006D6A16"/>
    <w:rsid w:val="007126D2"/>
    <w:rsid w:val="007A18E0"/>
    <w:rsid w:val="007E2E6D"/>
    <w:rsid w:val="007E5EC9"/>
    <w:rsid w:val="00863193"/>
    <w:rsid w:val="008B6E53"/>
    <w:rsid w:val="008E7F0F"/>
    <w:rsid w:val="009C3F43"/>
    <w:rsid w:val="00A0241C"/>
    <w:rsid w:val="00A72424"/>
    <w:rsid w:val="00AC509C"/>
    <w:rsid w:val="00AD634F"/>
    <w:rsid w:val="00B34A4A"/>
    <w:rsid w:val="00B80865"/>
    <w:rsid w:val="00B954C8"/>
    <w:rsid w:val="00CF5EC6"/>
    <w:rsid w:val="00D1087B"/>
    <w:rsid w:val="00D63E33"/>
    <w:rsid w:val="00DC10A8"/>
    <w:rsid w:val="00E30FBB"/>
    <w:rsid w:val="00E617E0"/>
    <w:rsid w:val="00EF24ED"/>
    <w:rsid w:val="00F45EC5"/>
    <w:rsid w:val="00F524F1"/>
    <w:rsid w:val="00F676F2"/>
    <w:rsid w:val="00F936D6"/>
    <w:rsid w:val="00FA1174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20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A1B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20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A1B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CA66-5AD3-47B4-BE18-BEEE4EF9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Сарычева М.Н.</dc:creator>
  <cp:lastModifiedBy>User</cp:lastModifiedBy>
  <cp:revision>49</cp:revision>
  <cp:lastPrinted>2021-07-12T09:13:00Z</cp:lastPrinted>
  <dcterms:created xsi:type="dcterms:W3CDTF">2020-04-07T05:18:00Z</dcterms:created>
  <dcterms:modified xsi:type="dcterms:W3CDTF">2021-07-19T05:18:00Z</dcterms:modified>
</cp:coreProperties>
</file>